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tblCellMar>
        <w:tblLook w:val="04A0" w:firstRow="1" w:lastRow="0" w:firstColumn="1" w:lastColumn="0" w:noHBand="0" w:noVBand="1"/>
      </w:tblPr>
      <w:tblGrid>
        <w:gridCol w:w="2519"/>
        <w:gridCol w:w="7771"/>
      </w:tblGrid>
      <w:tr w:rsidR="00E1472F" w14:paraId="409EC24E" w14:textId="77777777" w:rsidTr="00E1472F">
        <w:tc>
          <w:tcPr>
            <w:tcW w:w="10296" w:type="dxa"/>
            <w:gridSpan w:val="2"/>
            <w:tcBorders>
              <w:top w:val="single" w:sz="4" w:space="0" w:color="auto"/>
              <w:left w:val="single" w:sz="4" w:space="0" w:color="auto"/>
              <w:bottom w:val="single" w:sz="4" w:space="0" w:color="auto"/>
              <w:right w:val="single" w:sz="4" w:space="0" w:color="auto"/>
            </w:tcBorders>
            <w:hideMark/>
          </w:tcPr>
          <w:p w14:paraId="772424A5" w14:textId="77777777" w:rsidR="00E1472F" w:rsidRDefault="00E1472F">
            <w:pPr>
              <w:jc w:val="center"/>
            </w:pPr>
            <w:r>
              <w:rPr>
                <w:rFonts w:ascii="Arial Narrow" w:hAnsi="Arial Narrow"/>
                <w:b/>
                <w:sz w:val="26"/>
              </w:rPr>
              <w:t>INTEREST RATE AND INTEREST CHARGES</w:t>
            </w:r>
          </w:p>
        </w:tc>
      </w:tr>
      <w:tr w:rsidR="00E1472F" w14:paraId="0212E1CF" w14:textId="77777777" w:rsidTr="00E1472F">
        <w:tc>
          <w:tcPr>
            <w:tcW w:w="2520" w:type="dxa"/>
            <w:tcBorders>
              <w:top w:val="single" w:sz="4" w:space="0" w:color="auto"/>
              <w:left w:val="single" w:sz="4" w:space="0" w:color="auto"/>
              <w:bottom w:val="single" w:sz="4" w:space="0" w:color="auto"/>
              <w:right w:val="single" w:sz="4" w:space="0" w:color="auto"/>
            </w:tcBorders>
            <w:hideMark/>
          </w:tcPr>
          <w:p w14:paraId="259107A0" w14:textId="54E13919" w:rsidR="00E1472F" w:rsidRDefault="00E1472F">
            <w:pPr>
              <w:rPr>
                <w:rFonts w:ascii="Arial Narrow" w:hAnsi="Arial Narrow"/>
                <w:b/>
                <w:sz w:val="20"/>
              </w:rPr>
            </w:pPr>
            <w:r>
              <w:rPr>
                <w:rFonts w:ascii="Arial Narrow" w:hAnsi="Arial Narrow"/>
                <w:b/>
                <w:sz w:val="20"/>
              </w:rPr>
              <w:t>Annual Percentage Rate</w:t>
            </w:r>
            <w:r>
              <w:rPr>
                <w:rFonts w:ascii="Arial Narrow" w:hAnsi="Arial Narrow"/>
                <w:b/>
                <w:sz w:val="20"/>
              </w:rPr>
              <w:t xml:space="preserve"> </w:t>
            </w:r>
            <w:r>
              <w:rPr>
                <w:rFonts w:ascii="Arial Narrow" w:hAnsi="Arial Narrow"/>
                <w:b/>
                <w:sz w:val="20"/>
              </w:rPr>
              <w:t>(APR) for Purchases</w:t>
            </w:r>
          </w:p>
        </w:tc>
        <w:tc>
          <w:tcPr>
            <w:tcW w:w="7776" w:type="dxa"/>
            <w:tcBorders>
              <w:top w:val="single" w:sz="4" w:space="0" w:color="auto"/>
              <w:left w:val="single" w:sz="4" w:space="0" w:color="auto"/>
              <w:bottom w:val="single" w:sz="4" w:space="0" w:color="auto"/>
              <w:right w:val="single" w:sz="4" w:space="0" w:color="auto"/>
            </w:tcBorders>
            <w:hideMark/>
          </w:tcPr>
          <w:p w14:paraId="47DE3E12" w14:textId="77777777" w:rsidR="00E1472F" w:rsidRDefault="00E1472F">
            <w:pPr>
              <w:rPr>
                <w:rFonts w:ascii="Arial Narrow" w:hAnsi="Arial Narrow"/>
                <w:b/>
                <w:sz w:val="32"/>
              </w:rPr>
            </w:pPr>
            <w:r>
              <w:rPr>
                <w:rFonts w:ascii="Arial Narrow" w:hAnsi="Arial Narrow"/>
                <w:b/>
                <w:sz w:val="32"/>
              </w:rPr>
              <w:t>17.99%</w:t>
            </w:r>
          </w:p>
          <w:p w14:paraId="3400142D" w14:textId="77777777" w:rsidR="00E1472F" w:rsidRDefault="00E1472F">
            <w:pPr>
              <w:rPr>
                <w:rFonts w:ascii="Arial Narrow" w:hAnsi="Arial Narrow"/>
                <w:sz w:val="20"/>
              </w:rPr>
            </w:pPr>
            <w:r>
              <w:rPr>
                <w:rFonts w:ascii="Arial Narrow" w:hAnsi="Arial Narrow"/>
                <w:sz w:val="20"/>
              </w:rPr>
              <w:t>Standard APR based on your credit worthiness.</w:t>
            </w:r>
          </w:p>
        </w:tc>
      </w:tr>
      <w:tr w:rsidR="00E1472F" w14:paraId="7AE2F2DB" w14:textId="77777777" w:rsidTr="00E1472F">
        <w:tc>
          <w:tcPr>
            <w:tcW w:w="2520" w:type="dxa"/>
            <w:tcBorders>
              <w:top w:val="single" w:sz="4" w:space="0" w:color="auto"/>
              <w:left w:val="single" w:sz="4" w:space="0" w:color="auto"/>
              <w:bottom w:val="single" w:sz="4" w:space="0" w:color="auto"/>
              <w:right w:val="single" w:sz="4" w:space="0" w:color="auto"/>
            </w:tcBorders>
            <w:hideMark/>
          </w:tcPr>
          <w:p w14:paraId="296D8569" w14:textId="77777777" w:rsidR="00E1472F" w:rsidRDefault="00E1472F">
            <w:pPr>
              <w:rPr>
                <w:rFonts w:ascii="Arial Narrow" w:hAnsi="Arial Narrow"/>
                <w:b/>
                <w:sz w:val="20"/>
              </w:rPr>
            </w:pPr>
            <w:r>
              <w:rPr>
                <w:rFonts w:ascii="Arial Narrow" w:hAnsi="Arial Narrow"/>
                <w:b/>
                <w:sz w:val="20"/>
              </w:rPr>
              <w:t>APR for Balance Transfers</w:t>
            </w:r>
          </w:p>
        </w:tc>
        <w:tc>
          <w:tcPr>
            <w:tcW w:w="7776" w:type="dxa"/>
            <w:tcBorders>
              <w:top w:val="single" w:sz="4" w:space="0" w:color="auto"/>
              <w:left w:val="single" w:sz="4" w:space="0" w:color="auto"/>
              <w:bottom w:val="single" w:sz="4" w:space="0" w:color="auto"/>
              <w:right w:val="single" w:sz="4" w:space="0" w:color="auto"/>
            </w:tcBorders>
            <w:hideMark/>
          </w:tcPr>
          <w:p w14:paraId="69A3E45C" w14:textId="77777777" w:rsidR="00E1472F" w:rsidRDefault="00E1472F">
            <w:pPr>
              <w:rPr>
                <w:rFonts w:ascii="Arial Narrow" w:hAnsi="Arial Narrow"/>
                <w:b/>
                <w:sz w:val="20"/>
              </w:rPr>
            </w:pPr>
            <w:r>
              <w:rPr>
                <w:rFonts w:ascii="Arial Narrow" w:hAnsi="Arial Narrow"/>
                <w:b/>
                <w:sz w:val="20"/>
              </w:rPr>
              <w:t>17.99%</w:t>
            </w:r>
          </w:p>
          <w:p w14:paraId="4F7C9EBF" w14:textId="77777777" w:rsidR="00E1472F" w:rsidRDefault="00E1472F">
            <w:pPr>
              <w:rPr>
                <w:rFonts w:ascii="Arial Narrow" w:hAnsi="Arial Narrow"/>
                <w:sz w:val="20"/>
              </w:rPr>
            </w:pPr>
            <w:r>
              <w:rPr>
                <w:rFonts w:ascii="Arial Narrow" w:hAnsi="Arial Narrow"/>
                <w:sz w:val="20"/>
              </w:rPr>
              <w:t>Standard APR based on your credit worthiness.</w:t>
            </w:r>
          </w:p>
        </w:tc>
      </w:tr>
      <w:tr w:rsidR="00E1472F" w14:paraId="783C2D98" w14:textId="77777777" w:rsidTr="00E1472F">
        <w:tc>
          <w:tcPr>
            <w:tcW w:w="2520" w:type="dxa"/>
            <w:tcBorders>
              <w:top w:val="single" w:sz="4" w:space="0" w:color="auto"/>
              <w:left w:val="single" w:sz="4" w:space="0" w:color="auto"/>
              <w:bottom w:val="single" w:sz="4" w:space="0" w:color="auto"/>
              <w:right w:val="single" w:sz="4" w:space="0" w:color="auto"/>
            </w:tcBorders>
            <w:hideMark/>
          </w:tcPr>
          <w:p w14:paraId="6F8BA3DB" w14:textId="77777777" w:rsidR="00E1472F" w:rsidRDefault="00E1472F">
            <w:pPr>
              <w:rPr>
                <w:rFonts w:ascii="Arial Narrow" w:hAnsi="Arial Narrow"/>
                <w:b/>
                <w:sz w:val="20"/>
              </w:rPr>
            </w:pPr>
            <w:r>
              <w:rPr>
                <w:rFonts w:ascii="Arial Narrow" w:hAnsi="Arial Narrow"/>
                <w:b/>
                <w:sz w:val="20"/>
              </w:rPr>
              <w:t>APR for Cash Advances</w:t>
            </w:r>
          </w:p>
        </w:tc>
        <w:tc>
          <w:tcPr>
            <w:tcW w:w="7776" w:type="dxa"/>
            <w:tcBorders>
              <w:top w:val="single" w:sz="4" w:space="0" w:color="auto"/>
              <w:left w:val="single" w:sz="4" w:space="0" w:color="auto"/>
              <w:bottom w:val="single" w:sz="4" w:space="0" w:color="auto"/>
              <w:right w:val="single" w:sz="4" w:space="0" w:color="auto"/>
            </w:tcBorders>
            <w:hideMark/>
          </w:tcPr>
          <w:p w14:paraId="5B1A02C4" w14:textId="77777777" w:rsidR="00E1472F" w:rsidRDefault="00E1472F">
            <w:pPr>
              <w:rPr>
                <w:rFonts w:ascii="Arial Narrow" w:hAnsi="Arial Narrow"/>
                <w:b/>
                <w:sz w:val="20"/>
              </w:rPr>
            </w:pPr>
            <w:r>
              <w:rPr>
                <w:rFonts w:ascii="Arial Narrow" w:hAnsi="Arial Narrow"/>
                <w:b/>
                <w:sz w:val="20"/>
              </w:rPr>
              <w:t>22.99%</w:t>
            </w:r>
          </w:p>
          <w:p w14:paraId="0FE8FCF0" w14:textId="77777777" w:rsidR="00E1472F" w:rsidRDefault="00E1472F">
            <w:pPr>
              <w:rPr>
                <w:rFonts w:ascii="Arial Narrow" w:hAnsi="Arial Narrow"/>
                <w:sz w:val="20"/>
              </w:rPr>
            </w:pPr>
            <w:r>
              <w:rPr>
                <w:rFonts w:ascii="Arial Narrow" w:hAnsi="Arial Narrow"/>
                <w:sz w:val="20"/>
              </w:rPr>
              <w:t>Standard APR based on your credit worthiness.</w:t>
            </w:r>
          </w:p>
        </w:tc>
      </w:tr>
      <w:tr w:rsidR="00E1472F" w14:paraId="311E1442" w14:textId="77777777" w:rsidTr="00E1472F">
        <w:tc>
          <w:tcPr>
            <w:tcW w:w="2520" w:type="dxa"/>
            <w:tcBorders>
              <w:top w:val="single" w:sz="4" w:space="0" w:color="auto"/>
              <w:left w:val="single" w:sz="4" w:space="0" w:color="auto"/>
              <w:bottom w:val="single" w:sz="4" w:space="0" w:color="auto"/>
              <w:right w:val="single" w:sz="4" w:space="0" w:color="auto"/>
            </w:tcBorders>
            <w:hideMark/>
          </w:tcPr>
          <w:p w14:paraId="37AE1914" w14:textId="77777777" w:rsidR="00E1472F" w:rsidRDefault="00E1472F">
            <w:pPr>
              <w:rPr>
                <w:rFonts w:ascii="Arial Narrow" w:hAnsi="Arial Narrow"/>
                <w:b/>
                <w:sz w:val="20"/>
              </w:rPr>
            </w:pPr>
            <w:r>
              <w:rPr>
                <w:rFonts w:ascii="Arial Narrow" w:hAnsi="Arial Narrow"/>
                <w:b/>
                <w:sz w:val="20"/>
              </w:rPr>
              <w:t>Paying Interest</w:t>
            </w:r>
          </w:p>
        </w:tc>
        <w:tc>
          <w:tcPr>
            <w:tcW w:w="7776" w:type="dxa"/>
            <w:tcBorders>
              <w:top w:val="single" w:sz="4" w:space="0" w:color="auto"/>
              <w:left w:val="single" w:sz="4" w:space="0" w:color="auto"/>
              <w:bottom w:val="single" w:sz="4" w:space="0" w:color="auto"/>
              <w:right w:val="single" w:sz="4" w:space="0" w:color="auto"/>
            </w:tcBorders>
            <w:hideMark/>
          </w:tcPr>
          <w:p w14:paraId="2D04EDA8" w14:textId="77777777" w:rsidR="00E1472F" w:rsidRDefault="00E1472F">
            <w:pPr>
              <w:rPr>
                <w:rFonts w:ascii="Arial Narrow" w:hAnsi="Arial Narrow"/>
                <w:sz w:val="20"/>
              </w:rPr>
            </w:pPr>
            <w:r>
              <w:rPr>
                <w:rFonts w:ascii="Arial Narrow" w:hAnsi="Arial Narrow"/>
                <w:sz w:val="20"/>
              </w:rPr>
              <w:t>Your due date is 25 days after the close of each billing cycle. We will not charge you any interest on purchases or balance transfers if you pay your entire balance by the due date each month. We will begin charging interest on cash advances on the transaction date.</w:t>
            </w:r>
          </w:p>
        </w:tc>
      </w:tr>
      <w:tr w:rsidR="00E1472F" w14:paraId="0E428388" w14:textId="77777777" w:rsidTr="00E1472F">
        <w:tc>
          <w:tcPr>
            <w:tcW w:w="2520" w:type="dxa"/>
            <w:tcBorders>
              <w:top w:val="single" w:sz="4" w:space="0" w:color="auto"/>
              <w:left w:val="single" w:sz="4" w:space="0" w:color="auto"/>
              <w:bottom w:val="single" w:sz="4" w:space="0" w:color="auto"/>
              <w:right w:val="single" w:sz="4" w:space="0" w:color="auto"/>
            </w:tcBorders>
            <w:hideMark/>
          </w:tcPr>
          <w:p w14:paraId="69FBF3BA" w14:textId="77777777" w:rsidR="00E1472F" w:rsidRDefault="00E1472F">
            <w:pPr>
              <w:rPr>
                <w:rFonts w:ascii="Arial Narrow" w:hAnsi="Arial Narrow"/>
                <w:b/>
                <w:sz w:val="20"/>
              </w:rPr>
            </w:pPr>
            <w:r>
              <w:rPr>
                <w:rFonts w:ascii="Arial Narrow" w:hAnsi="Arial Narrow"/>
                <w:b/>
                <w:sz w:val="20"/>
              </w:rPr>
              <w:t>Minimum Interest Charge</w:t>
            </w:r>
          </w:p>
        </w:tc>
        <w:tc>
          <w:tcPr>
            <w:tcW w:w="7776" w:type="dxa"/>
            <w:tcBorders>
              <w:top w:val="single" w:sz="4" w:space="0" w:color="auto"/>
              <w:left w:val="single" w:sz="4" w:space="0" w:color="auto"/>
              <w:bottom w:val="single" w:sz="4" w:space="0" w:color="auto"/>
              <w:right w:val="single" w:sz="4" w:space="0" w:color="auto"/>
            </w:tcBorders>
            <w:hideMark/>
          </w:tcPr>
          <w:p w14:paraId="01C218EA" w14:textId="77777777" w:rsidR="00E1472F" w:rsidRDefault="00E1472F">
            <w:pPr>
              <w:rPr>
                <w:rFonts w:ascii="Arial Narrow" w:hAnsi="Arial Narrow"/>
                <w:sz w:val="20"/>
              </w:rPr>
            </w:pPr>
            <w:r>
              <w:rPr>
                <w:rFonts w:ascii="Arial Narrow" w:hAnsi="Arial Narrow"/>
                <w:sz w:val="20"/>
              </w:rPr>
              <w:t>If you are charged periodic interest, the charge will be no less than $0.</w:t>
            </w:r>
          </w:p>
        </w:tc>
      </w:tr>
      <w:tr w:rsidR="00E1472F" w14:paraId="1FB1E50E" w14:textId="77777777" w:rsidTr="00E1472F">
        <w:tc>
          <w:tcPr>
            <w:tcW w:w="2520" w:type="dxa"/>
            <w:tcBorders>
              <w:top w:val="single" w:sz="4" w:space="0" w:color="auto"/>
              <w:left w:val="single" w:sz="4" w:space="0" w:color="auto"/>
              <w:bottom w:val="single" w:sz="4" w:space="0" w:color="auto"/>
              <w:right w:val="single" w:sz="4" w:space="0" w:color="auto"/>
            </w:tcBorders>
            <w:hideMark/>
          </w:tcPr>
          <w:p w14:paraId="28BCA691" w14:textId="77777777" w:rsidR="00E1472F" w:rsidRDefault="00E1472F">
            <w:pPr>
              <w:rPr>
                <w:rFonts w:ascii="Arial Narrow" w:hAnsi="Arial Narrow"/>
                <w:b/>
                <w:sz w:val="20"/>
              </w:rPr>
            </w:pPr>
            <w:r>
              <w:rPr>
                <w:rFonts w:ascii="Arial Narrow" w:hAnsi="Arial Narrow"/>
                <w:b/>
                <w:sz w:val="20"/>
              </w:rPr>
              <w:t>For Credit Card Tips from the Consumer Financial Protection Bureau</w:t>
            </w:r>
          </w:p>
        </w:tc>
        <w:tc>
          <w:tcPr>
            <w:tcW w:w="7776" w:type="dxa"/>
            <w:tcBorders>
              <w:top w:val="single" w:sz="4" w:space="0" w:color="auto"/>
              <w:left w:val="single" w:sz="4" w:space="0" w:color="auto"/>
              <w:bottom w:val="single" w:sz="4" w:space="0" w:color="auto"/>
              <w:right w:val="single" w:sz="4" w:space="0" w:color="auto"/>
            </w:tcBorders>
            <w:hideMark/>
          </w:tcPr>
          <w:p w14:paraId="684ECEF5" w14:textId="77777777" w:rsidR="00E1472F" w:rsidRDefault="00E1472F">
            <w:pPr>
              <w:rPr>
                <w:rFonts w:ascii="Arial Narrow" w:hAnsi="Arial Narrow"/>
                <w:b/>
                <w:sz w:val="20"/>
              </w:rPr>
            </w:pPr>
            <w:r>
              <w:rPr>
                <w:rFonts w:ascii="Arial Narrow" w:hAnsi="Arial Narrow"/>
                <w:b/>
                <w:sz w:val="20"/>
              </w:rPr>
              <w:t>To learn more about factors to consider when applying for or using a credit card, visit the website of the Consumer Financial Protection Bureau at</w:t>
            </w:r>
          </w:p>
          <w:p w14:paraId="32667561" w14:textId="77777777" w:rsidR="00E1472F" w:rsidRDefault="00E1472F">
            <w:pPr>
              <w:rPr>
                <w:rFonts w:ascii="Arial Narrow" w:hAnsi="Arial Narrow"/>
                <w:b/>
                <w:sz w:val="20"/>
                <w:u w:val="single"/>
              </w:rPr>
            </w:pPr>
            <w:r>
              <w:rPr>
                <w:rFonts w:ascii="Arial Narrow" w:hAnsi="Arial Narrow"/>
                <w:b/>
                <w:sz w:val="20"/>
                <w:u w:val="single"/>
              </w:rPr>
              <w:t>http://www.consumerfinance.gov/learnmore</w:t>
            </w:r>
          </w:p>
        </w:tc>
      </w:tr>
      <w:tr w:rsidR="00E1472F" w14:paraId="3662C528" w14:textId="77777777" w:rsidTr="00E1472F">
        <w:tc>
          <w:tcPr>
            <w:tcW w:w="10296" w:type="dxa"/>
            <w:gridSpan w:val="2"/>
            <w:tcBorders>
              <w:top w:val="single" w:sz="4" w:space="0" w:color="auto"/>
              <w:left w:val="single" w:sz="4" w:space="0" w:color="auto"/>
              <w:bottom w:val="single" w:sz="4" w:space="0" w:color="auto"/>
              <w:right w:val="single" w:sz="4" w:space="0" w:color="auto"/>
            </w:tcBorders>
            <w:hideMark/>
          </w:tcPr>
          <w:p w14:paraId="06AD0343" w14:textId="77777777" w:rsidR="00E1472F" w:rsidRDefault="00E1472F">
            <w:pPr>
              <w:jc w:val="center"/>
              <w:rPr>
                <w:rFonts w:ascii="Arial Narrow" w:hAnsi="Arial Narrow"/>
                <w:b/>
                <w:sz w:val="20"/>
              </w:rPr>
            </w:pPr>
            <w:r>
              <w:rPr>
                <w:rFonts w:ascii="Arial Narrow" w:hAnsi="Arial Narrow"/>
                <w:b/>
                <w:sz w:val="26"/>
              </w:rPr>
              <w:t>FEES</w:t>
            </w:r>
          </w:p>
        </w:tc>
      </w:tr>
      <w:tr w:rsidR="00E1472F" w14:paraId="1F54314E" w14:textId="77777777" w:rsidTr="00E1472F">
        <w:tc>
          <w:tcPr>
            <w:tcW w:w="2520" w:type="dxa"/>
            <w:tcBorders>
              <w:top w:val="single" w:sz="4" w:space="0" w:color="auto"/>
              <w:left w:val="single" w:sz="4" w:space="0" w:color="auto"/>
              <w:bottom w:val="single" w:sz="4" w:space="0" w:color="auto"/>
              <w:right w:val="single" w:sz="4" w:space="0" w:color="auto"/>
            </w:tcBorders>
            <w:hideMark/>
          </w:tcPr>
          <w:p w14:paraId="063262A1" w14:textId="77777777" w:rsidR="00E1472F" w:rsidRDefault="00E1472F">
            <w:pPr>
              <w:rPr>
                <w:rFonts w:ascii="Arial Narrow" w:hAnsi="Arial Narrow"/>
                <w:b/>
                <w:sz w:val="20"/>
              </w:rPr>
            </w:pPr>
            <w:r>
              <w:rPr>
                <w:rFonts w:ascii="Arial Narrow" w:hAnsi="Arial Narrow"/>
                <w:b/>
                <w:sz w:val="20"/>
              </w:rPr>
              <w:t>Annual Fees</w:t>
            </w:r>
          </w:p>
        </w:tc>
        <w:tc>
          <w:tcPr>
            <w:tcW w:w="7776" w:type="dxa"/>
            <w:tcBorders>
              <w:top w:val="single" w:sz="4" w:space="0" w:color="auto"/>
              <w:left w:val="single" w:sz="4" w:space="0" w:color="auto"/>
              <w:bottom w:val="single" w:sz="4" w:space="0" w:color="auto"/>
              <w:right w:val="single" w:sz="4" w:space="0" w:color="auto"/>
            </w:tcBorders>
            <w:hideMark/>
          </w:tcPr>
          <w:p w14:paraId="55FE7ED2" w14:textId="77777777" w:rsidR="00E1472F" w:rsidRDefault="00E1472F">
            <w:pPr>
              <w:rPr>
                <w:rFonts w:ascii="Arial Narrow" w:hAnsi="Arial Narrow"/>
                <w:sz w:val="20"/>
              </w:rPr>
            </w:pPr>
            <w:r>
              <w:rPr>
                <w:rFonts w:ascii="Arial Narrow" w:hAnsi="Arial Narrow"/>
                <w:b/>
                <w:sz w:val="20"/>
              </w:rPr>
              <w:t>None</w:t>
            </w:r>
          </w:p>
        </w:tc>
      </w:tr>
      <w:tr w:rsidR="00E1472F" w14:paraId="6907C072" w14:textId="77777777" w:rsidTr="00E1472F">
        <w:tc>
          <w:tcPr>
            <w:tcW w:w="2520" w:type="dxa"/>
            <w:tcBorders>
              <w:top w:val="single" w:sz="4" w:space="0" w:color="auto"/>
              <w:left w:val="single" w:sz="4" w:space="0" w:color="auto"/>
              <w:bottom w:val="nil"/>
              <w:right w:val="single" w:sz="4" w:space="0" w:color="auto"/>
            </w:tcBorders>
            <w:hideMark/>
          </w:tcPr>
          <w:p w14:paraId="7BF45034" w14:textId="77777777" w:rsidR="00E1472F" w:rsidRDefault="00E1472F">
            <w:pPr>
              <w:rPr>
                <w:rFonts w:ascii="Arial Narrow" w:hAnsi="Arial Narrow"/>
                <w:b/>
                <w:sz w:val="20"/>
              </w:rPr>
            </w:pPr>
            <w:r>
              <w:rPr>
                <w:rFonts w:ascii="Arial Narrow" w:hAnsi="Arial Narrow"/>
                <w:b/>
                <w:sz w:val="20"/>
              </w:rPr>
              <w:t>Transaction Fees</w:t>
            </w:r>
          </w:p>
        </w:tc>
        <w:tc>
          <w:tcPr>
            <w:tcW w:w="7776" w:type="dxa"/>
            <w:tcBorders>
              <w:top w:val="single" w:sz="4" w:space="0" w:color="auto"/>
              <w:left w:val="single" w:sz="4" w:space="0" w:color="auto"/>
              <w:bottom w:val="nil"/>
              <w:right w:val="single" w:sz="4" w:space="0" w:color="auto"/>
            </w:tcBorders>
          </w:tcPr>
          <w:p w14:paraId="66B5D70B" w14:textId="77777777" w:rsidR="00E1472F" w:rsidRDefault="00E1472F">
            <w:pPr>
              <w:rPr>
                <w:rFonts w:ascii="Arial Narrow" w:hAnsi="Arial Narrow"/>
                <w:b/>
                <w:sz w:val="20"/>
              </w:rPr>
            </w:pPr>
          </w:p>
        </w:tc>
      </w:tr>
      <w:tr w:rsidR="00E1472F" w14:paraId="7251B791" w14:textId="77777777" w:rsidTr="00E1472F">
        <w:tc>
          <w:tcPr>
            <w:tcW w:w="2520" w:type="dxa"/>
            <w:tcBorders>
              <w:top w:val="nil"/>
              <w:left w:val="single" w:sz="4" w:space="0" w:color="auto"/>
              <w:bottom w:val="nil"/>
              <w:right w:val="single" w:sz="4" w:space="0" w:color="auto"/>
            </w:tcBorders>
            <w:hideMark/>
          </w:tcPr>
          <w:p w14:paraId="696ED47E" w14:textId="77777777" w:rsidR="00E1472F" w:rsidRDefault="00E1472F" w:rsidP="00170CE4">
            <w:pPr>
              <w:pStyle w:val="ListParagraph"/>
              <w:numPr>
                <w:ilvl w:val="0"/>
                <w:numId w:val="1"/>
              </w:numPr>
              <w:ind w:left="360"/>
              <w:rPr>
                <w:rFonts w:ascii="Arial Narrow" w:hAnsi="Arial Narrow"/>
                <w:b/>
                <w:sz w:val="20"/>
              </w:rPr>
            </w:pPr>
            <w:r>
              <w:rPr>
                <w:rFonts w:ascii="Arial Narrow" w:hAnsi="Arial Narrow"/>
                <w:b/>
                <w:sz w:val="20"/>
              </w:rPr>
              <w:t>Balance Transfer</w:t>
            </w:r>
          </w:p>
        </w:tc>
        <w:tc>
          <w:tcPr>
            <w:tcW w:w="7776" w:type="dxa"/>
            <w:tcBorders>
              <w:top w:val="nil"/>
              <w:left w:val="single" w:sz="4" w:space="0" w:color="auto"/>
              <w:bottom w:val="nil"/>
              <w:right w:val="single" w:sz="4" w:space="0" w:color="auto"/>
            </w:tcBorders>
            <w:hideMark/>
          </w:tcPr>
          <w:p w14:paraId="5BDAC202" w14:textId="77777777" w:rsidR="00E1472F" w:rsidRDefault="00E1472F">
            <w:pPr>
              <w:rPr>
                <w:rFonts w:ascii="Arial Narrow" w:hAnsi="Arial Narrow"/>
                <w:sz w:val="20"/>
              </w:rPr>
            </w:pPr>
            <w:r>
              <w:rPr>
                <w:rFonts w:ascii="Arial Narrow" w:hAnsi="Arial Narrow"/>
                <w:b/>
                <w:sz w:val="20"/>
              </w:rPr>
              <w:t>None</w:t>
            </w:r>
          </w:p>
        </w:tc>
      </w:tr>
      <w:tr w:rsidR="00E1472F" w14:paraId="6F40B48D" w14:textId="77777777" w:rsidTr="00E1472F">
        <w:tc>
          <w:tcPr>
            <w:tcW w:w="2520" w:type="dxa"/>
            <w:tcBorders>
              <w:top w:val="nil"/>
              <w:left w:val="single" w:sz="4" w:space="0" w:color="auto"/>
              <w:bottom w:val="nil"/>
              <w:right w:val="single" w:sz="4" w:space="0" w:color="auto"/>
            </w:tcBorders>
            <w:hideMark/>
          </w:tcPr>
          <w:p w14:paraId="43FC24A5" w14:textId="77777777" w:rsidR="00E1472F" w:rsidRDefault="00E1472F" w:rsidP="00170CE4">
            <w:pPr>
              <w:pStyle w:val="ListParagraph"/>
              <w:numPr>
                <w:ilvl w:val="0"/>
                <w:numId w:val="1"/>
              </w:numPr>
              <w:ind w:left="360"/>
              <w:rPr>
                <w:rFonts w:ascii="Arial Narrow" w:hAnsi="Arial Narrow"/>
                <w:b/>
                <w:sz w:val="20"/>
              </w:rPr>
            </w:pPr>
            <w:r>
              <w:rPr>
                <w:rFonts w:ascii="Arial Narrow" w:hAnsi="Arial Narrow"/>
                <w:b/>
                <w:sz w:val="20"/>
              </w:rPr>
              <w:t>Cash Advance</w:t>
            </w:r>
          </w:p>
        </w:tc>
        <w:tc>
          <w:tcPr>
            <w:tcW w:w="7776" w:type="dxa"/>
            <w:tcBorders>
              <w:top w:val="nil"/>
              <w:left w:val="single" w:sz="4" w:space="0" w:color="auto"/>
              <w:bottom w:val="nil"/>
              <w:right w:val="single" w:sz="4" w:space="0" w:color="auto"/>
            </w:tcBorders>
            <w:hideMark/>
          </w:tcPr>
          <w:p w14:paraId="3B16A83B" w14:textId="77777777" w:rsidR="00E1472F" w:rsidRDefault="00E1472F">
            <w:pPr>
              <w:rPr>
                <w:rFonts w:ascii="Arial Narrow" w:hAnsi="Arial Narrow"/>
                <w:sz w:val="20"/>
              </w:rPr>
            </w:pPr>
            <w:r>
              <w:rPr>
                <w:rFonts w:ascii="Arial Narrow" w:hAnsi="Arial Narrow"/>
                <w:sz w:val="20"/>
              </w:rPr>
              <w:t xml:space="preserve">Either </w:t>
            </w:r>
            <w:r>
              <w:rPr>
                <w:rFonts w:ascii="Arial Narrow" w:hAnsi="Arial Narrow"/>
                <w:b/>
                <w:sz w:val="20"/>
              </w:rPr>
              <w:t>$10</w:t>
            </w:r>
            <w:r>
              <w:rPr>
                <w:rFonts w:ascii="Arial Narrow" w:hAnsi="Arial Narrow"/>
                <w:sz w:val="20"/>
              </w:rPr>
              <w:t xml:space="preserve"> or </w:t>
            </w:r>
            <w:r>
              <w:rPr>
                <w:rFonts w:ascii="Arial Narrow" w:hAnsi="Arial Narrow"/>
                <w:b/>
                <w:sz w:val="20"/>
              </w:rPr>
              <w:t>3.0%</w:t>
            </w:r>
            <w:r>
              <w:rPr>
                <w:rFonts w:ascii="Arial Narrow" w:hAnsi="Arial Narrow"/>
                <w:sz w:val="20"/>
              </w:rPr>
              <w:t xml:space="preserve"> of the amount of each transfer, whichever is greater (maximum fee: </w:t>
            </w:r>
            <w:r>
              <w:rPr>
                <w:rFonts w:ascii="Arial Narrow" w:hAnsi="Arial Narrow"/>
                <w:b/>
                <w:sz w:val="20"/>
              </w:rPr>
              <w:t>$50</w:t>
            </w:r>
            <w:r>
              <w:rPr>
                <w:rFonts w:ascii="Arial Narrow" w:hAnsi="Arial Narrow"/>
                <w:sz w:val="20"/>
              </w:rPr>
              <w:t>).</w:t>
            </w:r>
          </w:p>
        </w:tc>
      </w:tr>
      <w:tr w:rsidR="00E1472F" w14:paraId="401CAD10" w14:textId="77777777" w:rsidTr="00E1472F">
        <w:tc>
          <w:tcPr>
            <w:tcW w:w="2520" w:type="dxa"/>
            <w:tcBorders>
              <w:top w:val="nil"/>
              <w:left w:val="single" w:sz="4" w:space="0" w:color="auto"/>
              <w:bottom w:val="single" w:sz="4" w:space="0" w:color="auto"/>
              <w:right w:val="single" w:sz="4" w:space="0" w:color="auto"/>
            </w:tcBorders>
            <w:hideMark/>
          </w:tcPr>
          <w:p w14:paraId="205B6C40" w14:textId="77777777" w:rsidR="00E1472F" w:rsidRDefault="00E1472F" w:rsidP="00170CE4">
            <w:pPr>
              <w:pStyle w:val="ListParagraph"/>
              <w:numPr>
                <w:ilvl w:val="0"/>
                <w:numId w:val="1"/>
              </w:numPr>
              <w:ind w:left="360"/>
              <w:rPr>
                <w:rFonts w:ascii="Arial Narrow" w:hAnsi="Arial Narrow"/>
                <w:b/>
                <w:sz w:val="20"/>
              </w:rPr>
            </w:pPr>
            <w:r>
              <w:rPr>
                <w:rFonts w:ascii="Arial Narrow" w:hAnsi="Arial Narrow"/>
                <w:b/>
                <w:sz w:val="20"/>
              </w:rPr>
              <w:t>Foreign Fees</w:t>
            </w:r>
          </w:p>
        </w:tc>
        <w:tc>
          <w:tcPr>
            <w:tcW w:w="7776" w:type="dxa"/>
            <w:tcBorders>
              <w:top w:val="nil"/>
              <w:left w:val="single" w:sz="4" w:space="0" w:color="auto"/>
              <w:bottom w:val="single" w:sz="4" w:space="0" w:color="auto"/>
              <w:right w:val="single" w:sz="4" w:space="0" w:color="auto"/>
            </w:tcBorders>
            <w:hideMark/>
          </w:tcPr>
          <w:p w14:paraId="6E54A3CC" w14:textId="77777777" w:rsidR="00E1472F" w:rsidRDefault="00E1472F">
            <w:pPr>
              <w:rPr>
                <w:rFonts w:ascii="Arial Narrow" w:hAnsi="Arial Narrow"/>
                <w:sz w:val="20"/>
              </w:rPr>
            </w:pPr>
            <w:r>
              <w:rPr>
                <w:rFonts w:ascii="Arial Narrow" w:hAnsi="Arial Narrow"/>
                <w:b/>
                <w:sz w:val="20"/>
              </w:rPr>
              <w:t>2.0%</w:t>
            </w:r>
            <w:r>
              <w:rPr>
                <w:rFonts w:ascii="Arial Narrow" w:hAnsi="Arial Narrow"/>
                <w:sz w:val="20"/>
              </w:rPr>
              <w:t xml:space="preserve"> of each transaction in U.S. dollars.</w:t>
            </w:r>
          </w:p>
        </w:tc>
      </w:tr>
      <w:tr w:rsidR="00E1472F" w14:paraId="421E6180" w14:textId="77777777" w:rsidTr="00E1472F">
        <w:tc>
          <w:tcPr>
            <w:tcW w:w="2520" w:type="dxa"/>
            <w:tcBorders>
              <w:top w:val="single" w:sz="4" w:space="0" w:color="auto"/>
              <w:left w:val="single" w:sz="4" w:space="0" w:color="auto"/>
              <w:bottom w:val="nil"/>
              <w:right w:val="single" w:sz="4" w:space="0" w:color="auto"/>
            </w:tcBorders>
            <w:hideMark/>
          </w:tcPr>
          <w:p w14:paraId="272824A4" w14:textId="77777777" w:rsidR="00E1472F" w:rsidRDefault="00E1472F">
            <w:pPr>
              <w:rPr>
                <w:rFonts w:ascii="Arial Narrow" w:hAnsi="Arial Narrow"/>
                <w:b/>
                <w:sz w:val="20"/>
              </w:rPr>
            </w:pPr>
            <w:r>
              <w:rPr>
                <w:rFonts w:ascii="Arial Narrow" w:hAnsi="Arial Narrow"/>
                <w:b/>
                <w:sz w:val="20"/>
              </w:rPr>
              <w:t>Penalty Fees</w:t>
            </w:r>
          </w:p>
        </w:tc>
        <w:tc>
          <w:tcPr>
            <w:tcW w:w="7776" w:type="dxa"/>
            <w:tcBorders>
              <w:top w:val="single" w:sz="4" w:space="0" w:color="auto"/>
              <w:left w:val="single" w:sz="4" w:space="0" w:color="auto"/>
              <w:bottom w:val="nil"/>
              <w:right w:val="single" w:sz="4" w:space="0" w:color="auto"/>
            </w:tcBorders>
          </w:tcPr>
          <w:p w14:paraId="4A127BA6" w14:textId="77777777" w:rsidR="00E1472F" w:rsidRDefault="00E1472F">
            <w:pPr>
              <w:rPr>
                <w:rFonts w:ascii="Arial Narrow" w:hAnsi="Arial Narrow"/>
                <w:b/>
                <w:sz w:val="20"/>
              </w:rPr>
            </w:pPr>
          </w:p>
        </w:tc>
      </w:tr>
      <w:tr w:rsidR="00E1472F" w14:paraId="78013CA3" w14:textId="77777777" w:rsidTr="00E1472F">
        <w:tc>
          <w:tcPr>
            <w:tcW w:w="2520" w:type="dxa"/>
            <w:tcBorders>
              <w:top w:val="nil"/>
              <w:left w:val="single" w:sz="4" w:space="0" w:color="auto"/>
              <w:bottom w:val="nil"/>
              <w:right w:val="single" w:sz="4" w:space="0" w:color="auto"/>
            </w:tcBorders>
            <w:hideMark/>
          </w:tcPr>
          <w:p w14:paraId="228F4F4E" w14:textId="77777777" w:rsidR="00E1472F" w:rsidRDefault="00E1472F" w:rsidP="00170CE4">
            <w:pPr>
              <w:pStyle w:val="ListParagraph"/>
              <w:numPr>
                <w:ilvl w:val="0"/>
                <w:numId w:val="1"/>
              </w:numPr>
              <w:ind w:left="360"/>
              <w:rPr>
                <w:rFonts w:ascii="Arial Narrow" w:hAnsi="Arial Narrow"/>
                <w:b/>
                <w:sz w:val="20"/>
              </w:rPr>
            </w:pPr>
            <w:r>
              <w:rPr>
                <w:rFonts w:ascii="Arial Narrow" w:hAnsi="Arial Narrow"/>
                <w:b/>
                <w:sz w:val="20"/>
              </w:rPr>
              <w:t>Late Payment</w:t>
            </w:r>
          </w:p>
        </w:tc>
        <w:tc>
          <w:tcPr>
            <w:tcW w:w="7776" w:type="dxa"/>
            <w:tcBorders>
              <w:top w:val="nil"/>
              <w:left w:val="single" w:sz="4" w:space="0" w:color="auto"/>
              <w:bottom w:val="nil"/>
              <w:right w:val="single" w:sz="4" w:space="0" w:color="auto"/>
            </w:tcBorders>
            <w:hideMark/>
          </w:tcPr>
          <w:p w14:paraId="6EE23B13" w14:textId="77777777" w:rsidR="00E1472F" w:rsidRDefault="00E1472F">
            <w:pPr>
              <w:rPr>
                <w:rFonts w:ascii="Arial Narrow" w:hAnsi="Arial Narrow"/>
                <w:sz w:val="20"/>
              </w:rPr>
            </w:pPr>
            <w:r>
              <w:rPr>
                <w:rFonts w:ascii="Arial Narrow" w:hAnsi="Arial Narrow"/>
                <w:b/>
                <w:sz w:val="20"/>
              </w:rPr>
              <w:t>$29</w:t>
            </w:r>
          </w:p>
        </w:tc>
      </w:tr>
      <w:tr w:rsidR="00E1472F" w14:paraId="44BD80C2" w14:textId="77777777" w:rsidTr="00E1472F">
        <w:tc>
          <w:tcPr>
            <w:tcW w:w="2520" w:type="dxa"/>
            <w:tcBorders>
              <w:top w:val="nil"/>
              <w:left w:val="single" w:sz="4" w:space="0" w:color="auto"/>
              <w:bottom w:val="nil"/>
              <w:right w:val="single" w:sz="4" w:space="0" w:color="auto"/>
            </w:tcBorders>
            <w:hideMark/>
          </w:tcPr>
          <w:p w14:paraId="6280396A" w14:textId="77777777" w:rsidR="00E1472F" w:rsidRDefault="00E1472F" w:rsidP="00170CE4">
            <w:pPr>
              <w:pStyle w:val="ListParagraph"/>
              <w:numPr>
                <w:ilvl w:val="0"/>
                <w:numId w:val="1"/>
              </w:numPr>
              <w:ind w:left="360"/>
              <w:rPr>
                <w:rFonts w:ascii="Arial Narrow" w:hAnsi="Arial Narrow"/>
                <w:b/>
                <w:sz w:val="20"/>
              </w:rPr>
            </w:pPr>
            <w:r>
              <w:rPr>
                <w:rFonts w:ascii="Arial Narrow" w:hAnsi="Arial Narrow"/>
                <w:b/>
                <w:sz w:val="20"/>
              </w:rPr>
              <w:t>Over-the-Credit-Line</w:t>
            </w:r>
          </w:p>
        </w:tc>
        <w:tc>
          <w:tcPr>
            <w:tcW w:w="7776" w:type="dxa"/>
            <w:tcBorders>
              <w:top w:val="nil"/>
              <w:left w:val="single" w:sz="4" w:space="0" w:color="auto"/>
              <w:bottom w:val="nil"/>
              <w:right w:val="single" w:sz="4" w:space="0" w:color="auto"/>
            </w:tcBorders>
            <w:hideMark/>
          </w:tcPr>
          <w:p w14:paraId="6C278F9E" w14:textId="77777777" w:rsidR="00E1472F" w:rsidRDefault="00E1472F">
            <w:pPr>
              <w:rPr>
                <w:rFonts w:ascii="Arial Narrow" w:hAnsi="Arial Narrow"/>
                <w:sz w:val="20"/>
              </w:rPr>
            </w:pPr>
            <w:r>
              <w:rPr>
                <w:rFonts w:ascii="Arial Narrow" w:hAnsi="Arial Narrow"/>
                <w:b/>
                <w:sz w:val="20"/>
              </w:rPr>
              <w:t>None</w:t>
            </w:r>
          </w:p>
        </w:tc>
      </w:tr>
      <w:tr w:rsidR="00E1472F" w14:paraId="4D235C37" w14:textId="77777777" w:rsidTr="00E1472F">
        <w:tc>
          <w:tcPr>
            <w:tcW w:w="2520" w:type="dxa"/>
            <w:tcBorders>
              <w:top w:val="nil"/>
              <w:left w:val="single" w:sz="4" w:space="0" w:color="auto"/>
              <w:bottom w:val="single" w:sz="4" w:space="0" w:color="auto"/>
              <w:right w:val="single" w:sz="4" w:space="0" w:color="auto"/>
            </w:tcBorders>
            <w:hideMark/>
          </w:tcPr>
          <w:p w14:paraId="35015CBB" w14:textId="77777777" w:rsidR="00E1472F" w:rsidRDefault="00E1472F" w:rsidP="00170CE4">
            <w:pPr>
              <w:pStyle w:val="ListParagraph"/>
              <w:numPr>
                <w:ilvl w:val="0"/>
                <w:numId w:val="1"/>
              </w:numPr>
              <w:ind w:left="360"/>
              <w:rPr>
                <w:rFonts w:ascii="Arial Narrow" w:hAnsi="Arial Narrow"/>
                <w:b/>
                <w:sz w:val="20"/>
              </w:rPr>
            </w:pPr>
            <w:r>
              <w:rPr>
                <w:rFonts w:ascii="Arial Narrow" w:hAnsi="Arial Narrow"/>
                <w:b/>
                <w:sz w:val="20"/>
              </w:rPr>
              <w:t>Returned Payment</w:t>
            </w:r>
          </w:p>
        </w:tc>
        <w:tc>
          <w:tcPr>
            <w:tcW w:w="7776" w:type="dxa"/>
            <w:tcBorders>
              <w:top w:val="nil"/>
              <w:left w:val="single" w:sz="4" w:space="0" w:color="auto"/>
              <w:bottom w:val="single" w:sz="4" w:space="0" w:color="auto"/>
              <w:right w:val="single" w:sz="4" w:space="0" w:color="auto"/>
            </w:tcBorders>
            <w:hideMark/>
          </w:tcPr>
          <w:p w14:paraId="104F4C00" w14:textId="77777777" w:rsidR="00E1472F" w:rsidRDefault="00E1472F">
            <w:pPr>
              <w:rPr>
                <w:rFonts w:ascii="Arial Narrow" w:hAnsi="Arial Narrow"/>
                <w:sz w:val="20"/>
              </w:rPr>
            </w:pPr>
            <w:r>
              <w:rPr>
                <w:rFonts w:ascii="Arial Narrow" w:hAnsi="Arial Narrow"/>
                <w:b/>
                <w:sz w:val="20"/>
              </w:rPr>
              <w:t>$35</w:t>
            </w:r>
          </w:p>
        </w:tc>
      </w:tr>
      <w:tr w:rsidR="00E1472F" w14:paraId="58305B74" w14:textId="77777777" w:rsidTr="00E1472F">
        <w:tc>
          <w:tcPr>
            <w:tcW w:w="2520" w:type="dxa"/>
            <w:tcBorders>
              <w:top w:val="single" w:sz="4" w:space="0" w:color="auto"/>
              <w:left w:val="single" w:sz="4" w:space="0" w:color="auto"/>
              <w:bottom w:val="nil"/>
              <w:right w:val="single" w:sz="4" w:space="0" w:color="auto"/>
            </w:tcBorders>
            <w:hideMark/>
          </w:tcPr>
          <w:p w14:paraId="60957701" w14:textId="77777777" w:rsidR="00E1472F" w:rsidRDefault="00E1472F">
            <w:pPr>
              <w:rPr>
                <w:rFonts w:ascii="Arial Narrow" w:hAnsi="Arial Narrow"/>
                <w:b/>
                <w:sz w:val="20"/>
              </w:rPr>
            </w:pPr>
            <w:r>
              <w:rPr>
                <w:rFonts w:ascii="Arial Narrow" w:hAnsi="Arial Narrow"/>
                <w:b/>
                <w:sz w:val="20"/>
              </w:rPr>
              <w:t>Other Fees</w:t>
            </w:r>
          </w:p>
        </w:tc>
        <w:tc>
          <w:tcPr>
            <w:tcW w:w="7776" w:type="dxa"/>
            <w:tcBorders>
              <w:top w:val="single" w:sz="4" w:space="0" w:color="auto"/>
              <w:left w:val="single" w:sz="4" w:space="0" w:color="auto"/>
              <w:bottom w:val="nil"/>
              <w:right w:val="single" w:sz="4" w:space="0" w:color="auto"/>
            </w:tcBorders>
          </w:tcPr>
          <w:p w14:paraId="61035713" w14:textId="77777777" w:rsidR="00E1472F" w:rsidRDefault="00E1472F">
            <w:pPr>
              <w:rPr>
                <w:rFonts w:ascii="Arial Narrow" w:hAnsi="Arial Narrow"/>
                <w:b/>
                <w:sz w:val="20"/>
              </w:rPr>
            </w:pPr>
          </w:p>
        </w:tc>
      </w:tr>
      <w:tr w:rsidR="00E1472F" w14:paraId="2302856B" w14:textId="77777777" w:rsidTr="00E1472F">
        <w:tc>
          <w:tcPr>
            <w:tcW w:w="2520" w:type="dxa"/>
            <w:tcBorders>
              <w:top w:val="nil"/>
              <w:left w:val="single" w:sz="4" w:space="0" w:color="auto"/>
              <w:bottom w:val="nil"/>
              <w:right w:val="single" w:sz="4" w:space="0" w:color="auto"/>
            </w:tcBorders>
            <w:hideMark/>
          </w:tcPr>
          <w:p w14:paraId="52314C07" w14:textId="77777777" w:rsidR="00E1472F" w:rsidRDefault="00E1472F" w:rsidP="00170CE4">
            <w:pPr>
              <w:pStyle w:val="ListParagraph"/>
              <w:numPr>
                <w:ilvl w:val="0"/>
                <w:numId w:val="1"/>
              </w:numPr>
              <w:ind w:left="360"/>
              <w:rPr>
                <w:rFonts w:ascii="Arial Narrow" w:hAnsi="Arial Narrow"/>
                <w:b/>
                <w:sz w:val="20"/>
              </w:rPr>
            </w:pPr>
            <w:r>
              <w:rPr>
                <w:rFonts w:ascii="Arial Narrow" w:hAnsi="Arial Narrow"/>
                <w:b/>
                <w:sz w:val="20"/>
              </w:rPr>
              <w:t>Replacement Credit Card</w:t>
            </w:r>
          </w:p>
        </w:tc>
        <w:tc>
          <w:tcPr>
            <w:tcW w:w="7776" w:type="dxa"/>
            <w:tcBorders>
              <w:top w:val="nil"/>
              <w:left w:val="single" w:sz="4" w:space="0" w:color="auto"/>
              <w:bottom w:val="nil"/>
              <w:right w:val="single" w:sz="4" w:space="0" w:color="auto"/>
            </w:tcBorders>
            <w:hideMark/>
          </w:tcPr>
          <w:p w14:paraId="483E8F0B" w14:textId="77777777" w:rsidR="00E1472F" w:rsidRDefault="00E1472F">
            <w:pPr>
              <w:rPr>
                <w:rFonts w:ascii="Arial Narrow" w:hAnsi="Arial Narrow"/>
                <w:sz w:val="20"/>
              </w:rPr>
            </w:pPr>
            <w:r>
              <w:rPr>
                <w:rFonts w:ascii="Arial Narrow" w:hAnsi="Arial Narrow"/>
                <w:b/>
                <w:sz w:val="20"/>
              </w:rPr>
              <w:t>$7.50</w:t>
            </w:r>
          </w:p>
        </w:tc>
      </w:tr>
      <w:tr w:rsidR="00E1472F" w14:paraId="4F405C11" w14:textId="77777777" w:rsidTr="00E1472F">
        <w:tc>
          <w:tcPr>
            <w:tcW w:w="2520" w:type="dxa"/>
            <w:tcBorders>
              <w:top w:val="nil"/>
              <w:left w:val="single" w:sz="4" w:space="0" w:color="auto"/>
              <w:bottom w:val="nil"/>
              <w:right w:val="single" w:sz="4" w:space="0" w:color="auto"/>
            </w:tcBorders>
            <w:hideMark/>
          </w:tcPr>
          <w:p w14:paraId="32C52D58" w14:textId="77777777" w:rsidR="00E1472F" w:rsidRDefault="00E1472F" w:rsidP="00170CE4">
            <w:pPr>
              <w:pStyle w:val="ListParagraph"/>
              <w:numPr>
                <w:ilvl w:val="0"/>
                <w:numId w:val="1"/>
              </w:numPr>
              <w:ind w:left="360"/>
              <w:rPr>
                <w:rFonts w:ascii="Arial Narrow" w:hAnsi="Arial Narrow"/>
                <w:b/>
                <w:sz w:val="20"/>
              </w:rPr>
            </w:pPr>
            <w:r>
              <w:rPr>
                <w:rFonts w:ascii="Arial Narrow" w:hAnsi="Arial Narrow"/>
                <w:b/>
                <w:sz w:val="20"/>
              </w:rPr>
              <w:t>Expedited Delivery</w:t>
            </w:r>
          </w:p>
        </w:tc>
        <w:tc>
          <w:tcPr>
            <w:tcW w:w="7776" w:type="dxa"/>
            <w:tcBorders>
              <w:top w:val="nil"/>
              <w:left w:val="single" w:sz="4" w:space="0" w:color="auto"/>
              <w:bottom w:val="nil"/>
              <w:right w:val="single" w:sz="4" w:space="0" w:color="auto"/>
            </w:tcBorders>
            <w:hideMark/>
          </w:tcPr>
          <w:p w14:paraId="516949C8" w14:textId="77777777" w:rsidR="00E1472F" w:rsidRDefault="00E1472F">
            <w:pPr>
              <w:rPr>
                <w:rFonts w:ascii="Arial Narrow" w:hAnsi="Arial Narrow"/>
                <w:sz w:val="20"/>
              </w:rPr>
            </w:pPr>
            <w:r>
              <w:rPr>
                <w:rFonts w:ascii="Arial Narrow" w:hAnsi="Arial Narrow"/>
                <w:b/>
                <w:sz w:val="20"/>
              </w:rPr>
              <w:t>$30.00</w:t>
            </w:r>
          </w:p>
        </w:tc>
      </w:tr>
      <w:tr w:rsidR="00E1472F" w14:paraId="01A6459A" w14:textId="77777777" w:rsidTr="00E1472F">
        <w:tc>
          <w:tcPr>
            <w:tcW w:w="2520" w:type="dxa"/>
            <w:tcBorders>
              <w:top w:val="nil"/>
              <w:left w:val="single" w:sz="4" w:space="0" w:color="auto"/>
              <w:bottom w:val="single" w:sz="4" w:space="0" w:color="auto"/>
              <w:right w:val="single" w:sz="4" w:space="0" w:color="auto"/>
            </w:tcBorders>
            <w:hideMark/>
          </w:tcPr>
          <w:p w14:paraId="7318CCEB" w14:textId="77777777" w:rsidR="00E1472F" w:rsidRDefault="00E1472F" w:rsidP="00170CE4">
            <w:pPr>
              <w:pStyle w:val="ListParagraph"/>
              <w:numPr>
                <w:ilvl w:val="0"/>
                <w:numId w:val="1"/>
              </w:numPr>
              <w:ind w:left="360"/>
              <w:rPr>
                <w:rFonts w:ascii="Arial Narrow" w:hAnsi="Arial Narrow"/>
                <w:b/>
                <w:sz w:val="20"/>
              </w:rPr>
            </w:pPr>
            <w:r>
              <w:rPr>
                <w:rFonts w:ascii="Arial Narrow" w:hAnsi="Arial Narrow"/>
                <w:b/>
                <w:sz w:val="20"/>
              </w:rPr>
              <w:t>Pay by Phone</w:t>
            </w:r>
          </w:p>
        </w:tc>
        <w:tc>
          <w:tcPr>
            <w:tcW w:w="7776" w:type="dxa"/>
            <w:tcBorders>
              <w:top w:val="nil"/>
              <w:left w:val="single" w:sz="4" w:space="0" w:color="auto"/>
              <w:bottom w:val="single" w:sz="4" w:space="0" w:color="auto"/>
              <w:right w:val="single" w:sz="4" w:space="0" w:color="auto"/>
            </w:tcBorders>
            <w:hideMark/>
          </w:tcPr>
          <w:p w14:paraId="197A3DEC" w14:textId="77777777" w:rsidR="00E1472F" w:rsidRDefault="00E1472F">
            <w:pPr>
              <w:rPr>
                <w:rFonts w:ascii="Arial Narrow" w:hAnsi="Arial Narrow"/>
                <w:sz w:val="20"/>
              </w:rPr>
            </w:pPr>
            <w:r>
              <w:rPr>
                <w:rFonts w:ascii="Arial Narrow" w:hAnsi="Arial Narrow"/>
                <w:b/>
                <w:sz w:val="20"/>
              </w:rPr>
              <w:t>$27.50</w:t>
            </w:r>
          </w:p>
        </w:tc>
      </w:tr>
    </w:tbl>
    <w:p w14:paraId="62C8E7A1" w14:textId="77777777" w:rsidR="00E1472F" w:rsidRDefault="00E1472F" w:rsidP="00E1472F">
      <w:pPr>
        <w:rPr>
          <w:rFonts w:ascii="Arial Narrow" w:hAnsi="Arial Narrow"/>
          <w:sz w:val="20"/>
        </w:rPr>
      </w:pPr>
      <w:r>
        <w:rPr>
          <w:rFonts w:ascii="Arial Narrow" w:hAnsi="Arial Narrow"/>
          <w:b/>
          <w:sz w:val="20"/>
        </w:rPr>
        <w:t xml:space="preserve">How We Will Calculate Your Balance: </w:t>
      </w:r>
      <w:r>
        <w:rPr>
          <w:rFonts w:ascii="Arial Narrow" w:hAnsi="Arial Narrow"/>
          <w:sz w:val="20"/>
        </w:rPr>
        <w:t>We use a method called “average daily balance”. See your account agreement for further information regarding how we calculate your balance.</w:t>
      </w:r>
    </w:p>
    <w:p w14:paraId="506AFEA7" w14:textId="77777777" w:rsidR="00E1472F" w:rsidRDefault="00E1472F" w:rsidP="00E1472F">
      <w:pPr>
        <w:rPr>
          <w:rFonts w:ascii="Arial Narrow" w:hAnsi="Arial Narrow"/>
          <w:sz w:val="20"/>
        </w:rPr>
      </w:pPr>
      <w:r>
        <w:rPr>
          <w:rFonts w:ascii="Arial Narrow" w:hAnsi="Arial Narrow"/>
          <w:b/>
          <w:sz w:val="20"/>
        </w:rPr>
        <w:t xml:space="preserve">Billing Rights: </w:t>
      </w:r>
      <w:r>
        <w:rPr>
          <w:rFonts w:ascii="Arial Narrow" w:hAnsi="Arial Narrow"/>
          <w:sz w:val="20"/>
        </w:rPr>
        <w:t>Information on your rights to dispute transactions and how to exercise those rights is provided in your account agreement.</w:t>
      </w:r>
    </w:p>
    <w:p w14:paraId="33B838F1" w14:textId="77777777" w:rsidR="00E1472F" w:rsidRDefault="00E1472F" w:rsidP="00E1472F">
      <w:pPr>
        <w:rPr>
          <w:rFonts w:ascii="Arial Narrow" w:hAnsi="Arial Narrow"/>
          <w:sz w:val="20"/>
        </w:rPr>
      </w:pPr>
      <w:r>
        <w:rPr>
          <w:rFonts w:ascii="Arial Narrow" w:hAnsi="Arial Narrow"/>
          <w:b/>
          <w:sz w:val="20"/>
        </w:rPr>
        <w:t xml:space="preserve">Purchase APR: </w:t>
      </w:r>
      <w:r>
        <w:rPr>
          <w:rFonts w:ascii="Arial Narrow" w:hAnsi="Arial Narrow"/>
          <w:sz w:val="20"/>
        </w:rPr>
        <w:t xml:space="preserve">Your Purchase rate is </w:t>
      </w:r>
      <w:r>
        <w:rPr>
          <w:rFonts w:ascii="Arial Narrow" w:hAnsi="Arial Narrow"/>
          <w:b/>
          <w:sz w:val="20"/>
        </w:rPr>
        <w:t>17.99%</w:t>
      </w:r>
      <w:r>
        <w:rPr>
          <w:rFonts w:ascii="Arial Narrow" w:hAnsi="Arial Narrow"/>
          <w:sz w:val="20"/>
        </w:rPr>
        <w:t xml:space="preserve">. The monthly periodic rate of FINANCE CHARGES is 1/12th of the APR or </w:t>
      </w:r>
      <w:r>
        <w:rPr>
          <w:rFonts w:ascii="Arial Narrow" w:hAnsi="Arial Narrow"/>
          <w:b/>
          <w:sz w:val="20"/>
        </w:rPr>
        <w:t>1.49917%</w:t>
      </w:r>
      <w:r>
        <w:rPr>
          <w:rFonts w:ascii="Arial Narrow" w:hAnsi="Arial Narrow"/>
          <w:sz w:val="20"/>
        </w:rPr>
        <w:t>.</w:t>
      </w:r>
    </w:p>
    <w:p w14:paraId="3D6D3B16" w14:textId="77777777" w:rsidR="00E1472F" w:rsidRDefault="00E1472F" w:rsidP="00E1472F">
      <w:pPr>
        <w:rPr>
          <w:rFonts w:ascii="Arial Narrow" w:hAnsi="Arial Narrow"/>
          <w:sz w:val="20"/>
        </w:rPr>
      </w:pPr>
      <w:r>
        <w:rPr>
          <w:rFonts w:ascii="Arial Narrow" w:hAnsi="Arial Narrow"/>
          <w:b/>
          <w:sz w:val="20"/>
        </w:rPr>
        <w:t xml:space="preserve">Balance Transfer APR: </w:t>
      </w:r>
      <w:r>
        <w:rPr>
          <w:rFonts w:ascii="Arial Narrow" w:hAnsi="Arial Narrow"/>
          <w:sz w:val="20"/>
        </w:rPr>
        <w:t xml:space="preserve">Your Balance Transfer rate is </w:t>
      </w:r>
      <w:r>
        <w:rPr>
          <w:rFonts w:ascii="Arial Narrow" w:hAnsi="Arial Narrow"/>
          <w:b/>
          <w:sz w:val="20"/>
        </w:rPr>
        <w:t>17.99%</w:t>
      </w:r>
      <w:r>
        <w:rPr>
          <w:rFonts w:ascii="Arial Narrow" w:hAnsi="Arial Narrow"/>
          <w:sz w:val="20"/>
        </w:rPr>
        <w:t xml:space="preserve">. The monthly periodic rate of FINANCE CHARGES is 1/12th of the APR or </w:t>
      </w:r>
      <w:r>
        <w:rPr>
          <w:rFonts w:ascii="Arial Narrow" w:hAnsi="Arial Narrow"/>
          <w:b/>
          <w:sz w:val="20"/>
        </w:rPr>
        <w:t>1.49917%</w:t>
      </w:r>
      <w:r>
        <w:rPr>
          <w:rFonts w:ascii="Arial Narrow" w:hAnsi="Arial Narrow"/>
          <w:sz w:val="20"/>
        </w:rPr>
        <w:t>.</w:t>
      </w:r>
    </w:p>
    <w:p w14:paraId="2280840D" w14:textId="77777777" w:rsidR="00E1472F" w:rsidRDefault="00E1472F" w:rsidP="00E1472F">
      <w:pPr>
        <w:rPr>
          <w:rFonts w:ascii="Arial Narrow" w:hAnsi="Arial Narrow"/>
          <w:sz w:val="20"/>
        </w:rPr>
      </w:pPr>
      <w:r>
        <w:rPr>
          <w:rFonts w:ascii="Arial Narrow" w:hAnsi="Arial Narrow"/>
          <w:b/>
          <w:sz w:val="20"/>
        </w:rPr>
        <w:t xml:space="preserve">Cash APR: </w:t>
      </w:r>
      <w:r>
        <w:rPr>
          <w:rFonts w:ascii="Arial Narrow" w:hAnsi="Arial Narrow"/>
          <w:sz w:val="20"/>
        </w:rPr>
        <w:t xml:space="preserve">Your Cash rate is </w:t>
      </w:r>
      <w:r>
        <w:rPr>
          <w:rFonts w:ascii="Arial Narrow" w:hAnsi="Arial Narrow"/>
          <w:b/>
          <w:sz w:val="20"/>
        </w:rPr>
        <w:t>22.99%</w:t>
      </w:r>
      <w:r>
        <w:rPr>
          <w:rFonts w:ascii="Arial Narrow" w:hAnsi="Arial Narrow"/>
          <w:sz w:val="20"/>
        </w:rPr>
        <w:t xml:space="preserve">. The monthly periodic rate of FINANCE CHARGES is 1/12th of the APR or </w:t>
      </w:r>
      <w:r>
        <w:rPr>
          <w:rFonts w:ascii="Arial Narrow" w:hAnsi="Arial Narrow"/>
          <w:b/>
          <w:sz w:val="20"/>
        </w:rPr>
        <w:t>1.91583%</w:t>
      </w:r>
      <w:r>
        <w:rPr>
          <w:rFonts w:ascii="Arial Narrow" w:hAnsi="Arial Narrow"/>
          <w:sz w:val="20"/>
        </w:rPr>
        <w:t>.</w:t>
      </w:r>
    </w:p>
    <w:p w14:paraId="37569E05" w14:textId="77777777" w:rsidR="00E1472F" w:rsidRDefault="00E1472F" w:rsidP="00E1472F">
      <w:pPr>
        <w:rPr>
          <w:rFonts w:ascii="Arial Narrow" w:hAnsi="Arial Narrow"/>
          <w:sz w:val="20"/>
        </w:rPr>
      </w:pPr>
      <w:r>
        <w:rPr>
          <w:noProof/>
        </w:rPr>
        <mc:AlternateContent>
          <mc:Choice Requires="wps">
            <w:drawing>
              <wp:anchor distT="0" distB="0" distL="114300" distR="114300" simplePos="0" relativeHeight="251659264" behindDoc="0" locked="0" layoutInCell="1" allowOverlap="1" wp14:anchorId="10F9019B" wp14:editId="3BBF5E57">
                <wp:simplePos x="0" y="0"/>
                <wp:positionH relativeFrom="page">
                  <wp:posOffset>6492240</wp:posOffset>
                </wp:positionH>
                <wp:positionV relativeFrom="page">
                  <wp:posOffset>9429750</wp:posOffset>
                </wp:positionV>
                <wp:extent cx="594360" cy="228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 cy="228600"/>
                        </a:xfrm>
                        <a:prstGeom prst="rect">
                          <a:avLst/>
                        </a:prstGeom>
                        <a:solidFill>
                          <a:srgbClr val="5B9BD5">
                            <a:alpha val="0"/>
                          </a:srgbClr>
                        </a:solidFill>
                        <a:ln w="12700" cap="flat" cmpd="sng" algn="ctr">
                          <a:noFill/>
                          <a:prstDash val="solid"/>
                          <a:miter lim="800000"/>
                          <a:headEnd type="none" w="med" len="med"/>
                          <a:tailEnd type="none" w="med" len="med"/>
                        </a:ln>
                        <a:effectLst/>
                        <a:extLst>
                          <a:ext uri="{91240B29-F687-4F45-9708-019B960494DF}">
                            <a14:hiddenLine xmlns:a14="http://schemas.microsoft.com/office/drawing/2010/main" w="12700" cap="flat" cmpd="sng" algn="ctr">
                              <a:solidFill>
                                <a:schemeClr val="accent1">
                                  <a:shade val="50000"/>
                                  <a:alpha val="0"/>
                                </a:schemeClr>
                              </a:solidFill>
                              <a:prstDash val="solid"/>
                              <a:miter lim="800000"/>
                              <a:headEnd type="none" w="med" len="med"/>
                              <a:tailEnd type="none" w="med" len="med"/>
                            </a14:hiddenLine>
                          </a:ext>
                        </a:extLst>
                      </wps:spPr>
                      <wps:txbx>
                        <w:txbxContent>
                          <w:p w14:paraId="297A9C34" w14:textId="77777777" w:rsidR="00E1472F" w:rsidRDefault="00E1472F" w:rsidP="00E1472F">
                            <w:pPr>
                              <w:jc w:val="center"/>
                              <w:rPr>
                                <w:rFonts w:ascii="Arial" w:hAnsi="Arial" w:cs="Arial"/>
                                <w:color w:val="000000"/>
                                <w:sz w:val="12"/>
                              </w:rPr>
                            </w:pPr>
                            <w:r>
                              <w:rPr>
                                <w:rFonts w:ascii="Arial" w:hAnsi="Arial" w:cs="Arial"/>
                                <w:color w:val="000000"/>
                                <w:sz w:val="12"/>
                              </w:rPr>
                              <w:t>S0027318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9019B" id="Rectangle 1" o:spid="_x0000_s1026" style="position:absolute;margin-left:511.2pt;margin-top:742.5pt;width:46.8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eHjwIAADYFAAAOAAAAZHJzL2Uyb0RvYy54bWysVEtv2zAMvg/YfxB0X51kSdcadYq0WYcB&#10;QVugHXpmZDkWJomapLz260fJThp0OwzDfBBIkebj40ddXe+MZhvpg0Jb8eHZgDNpBdbKrir+7fnu&#10;wwVnIYKtQaOVFd/LwK+n799dbV0pR9iirqVnFMSGcusq3sboyqIIopUGwhk6acnYoDcQSfWrovaw&#10;pehGF6PB4LzYoq+dRyFDoNt5Z+TTHL9ppIgPTRNkZLriVFvMp8/nMp3F9ArKlQfXKtGXAf9QhQFl&#10;Kekx1BwisLVXv4UySngM2MQzgabAplFC5h6om+HgTTdPLTiZeyFwgjvCFP5fWHG/eXKPPpUe3ALF&#10;90CIFFsXyqMlKaH32TXeJF8qnO0yivsjinIXmaDLyeX44zlhLcg0Gl2cDzLKBZSHn50P8YtEw5JQ&#10;cU9DytjBZhFiSg/lwSXXhVrVd0rrrPjV8lZ7tgEa6OTm8mY+6f7VroXu9pAudK45XjiNoS3bEldH&#10;n6gyJoBY12iIJBpXVzzYFWegV0RnEX0ObjGlz1RJhc0htF2qHLbjkFGRiKyVqfjFIH3ddSuh/mxr&#10;FveO2G9pB3hKbmTNmZaUI0k5cgSl/8aT0NE2QSEzvXvIXoeUpLhb7ihoEpdY7x8989hRPzhxp6iH&#10;BYT4CJ64ThjQ/sYHOhqNVBv2Emct+p9/uk/+REGyUjO0OwTajzV4ak1/tUTOy+F4nJYtK+PJpxEp&#10;/tSyPLXYtblFmuaQXgonspj8oz6IjUfzQms+S1nJBFZQ7m48vXIbu52mh0LI2Sy70YI5iAv75EQK&#10;niBL03vevYB3PfcikfYeD3sG5RsKdr7pT4uzdcRGZX6+4trvCi1npln/kKTtP9Wz1+tzN/0FAAD/&#10;/wMAUEsDBBQABgAIAAAAIQBEM3E73wAAAA8BAAAPAAAAZHJzL2Rvd25yZXYueG1sTI/BTsMwEETv&#10;SPyDtUjcqB2rLSXEqVAR10oNSFzdeHEsYjuK3Sbl69me4DajHc2+qbaz79kZx+RiUFAsBDAMbTQu&#10;WAUf728PG2Ap62B0HwMquGCCbX17U+nSxCkc8Nxky6gkpFIr6HIeSs5T26HXaREHDHT7iqPXmexo&#10;uRn1ROW+51KINffaBfrQ6QF3Hbbfzckr2O2ldZZfnlKzd4ef16mNj59Jqfu7+eUZWMY5/4Xhik/o&#10;UBPTMZ6CSawnL6RcUpbUcrOiWddMUaxJHUmtZCGA1xX/v6P+BQAA//8DAFBLAQItABQABgAIAAAA&#10;IQC2gziS/gAAAOEBAAATAAAAAAAAAAAAAAAAAAAAAABbQ29udGVudF9UeXBlc10ueG1sUEsBAi0A&#10;FAAGAAgAAAAhADj9If/WAAAAlAEAAAsAAAAAAAAAAAAAAAAALwEAAF9yZWxzLy5yZWxzUEsBAi0A&#10;FAAGAAgAAAAhAGInh4ePAgAANgUAAA4AAAAAAAAAAAAAAAAALgIAAGRycy9lMm9Eb2MueG1sUEsB&#10;Ai0AFAAGAAgAAAAhAEQzcTvfAAAADwEAAA8AAAAAAAAAAAAAAAAA6QQAAGRycy9kb3ducmV2Lnht&#10;bFBLBQYAAAAABAAEAPMAAAD1BQAAAAA=&#10;" fillcolor="#5b9bd5" stroked="f" strokecolor="#1f3763 [1604]" strokeweight="1pt">
                <v:fill opacity="0"/>
                <v:stroke opacity="0"/>
                <v:path arrowok="t"/>
                <v:textbox>
                  <w:txbxContent>
                    <w:p w14:paraId="297A9C34" w14:textId="77777777" w:rsidR="00E1472F" w:rsidRDefault="00E1472F" w:rsidP="00E1472F">
                      <w:pPr>
                        <w:jc w:val="center"/>
                        <w:rPr>
                          <w:rFonts w:ascii="Arial" w:hAnsi="Arial" w:cs="Arial"/>
                          <w:color w:val="000000"/>
                          <w:sz w:val="12"/>
                        </w:rPr>
                      </w:pPr>
                      <w:r>
                        <w:rPr>
                          <w:rFonts w:ascii="Arial" w:hAnsi="Arial" w:cs="Arial"/>
                          <w:color w:val="000000"/>
                          <w:sz w:val="12"/>
                        </w:rPr>
                        <w:t>S0027318</w:t>
                      </w:r>
                    </w:p>
                  </w:txbxContent>
                </v:textbox>
                <w10:wrap anchorx="page" anchory="page"/>
              </v:rect>
            </w:pict>
          </mc:Fallback>
        </mc:AlternateContent>
      </w:r>
      <w:r>
        <w:rPr>
          <w:rFonts w:ascii="Arial Narrow" w:hAnsi="Arial Narrow"/>
          <w:b/>
          <w:sz w:val="20"/>
        </w:rPr>
        <w:t xml:space="preserve">Military Lending APR: </w:t>
      </w:r>
      <w:r>
        <w:rPr>
          <w:rFonts w:ascii="Arial Narrow" w:hAnsi="Arial Narrow"/>
          <w:sz w:val="20"/>
        </w:rPr>
        <w:t>Effective October 1, 2017, Federal law provides important protections to members of the Armed Forces and their dependents relating to extensions of consumer credit. In general, the cost of consumer credit to a member of the Armed Forces and his or her dependent may not exceed an annual percentage rate of 36 percent. This rate must include, as applicable to the credit transaction or account: The costs associated with credit insurance premiums; fees for ancillary products sold in connection with the credit transaction; any application fee charged (other than certain application fees for specified credit transactions or accounts); and any participation fee charged (other than certain participation fees for a credit card account).</w:t>
      </w:r>
    </w:p>
    <w:p w14:paraId="03E7BF50" w14:textId="77777777" w:rsidR="00820042" w:rsidRDefault="00820042"/>
    <w:sectPr w:rsidR="00820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679F3"/>
    <w:multiLevelType w:val="singleLevel"/>
    <w:tmpl w:val="04090001"/>
    <w:lvl w:ilvl="0">
      <w:start w:val="1"/>
      <w:numFmt w:val="bullet"/>
      <w:lvlText w:val=""/>
      <w:lvlJc w:val="left"/>
      <w:pPr>
        <w:ind w:left="720" w:hanging="360"/>
      </w:pPr>
      <w:rPr>
        <w:rFonts w:ascii="Symbol" w:hAnsi="Symbol" w:hint="default"/>
      </w:rPr>
    </w:lvl>
  </w:abstractNum>
  <w:num w:numId="1" w16cid:durableId="65132503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2F"/>
    <w:rsid w:val="00396DE6"/>
    <w:rsid w:val="0045129F"/>
    <w:rsid w:val="004F5186"/>
    <w:rsid w:val="00820042"/>
    <w:rsid w:val="00E1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EC8D"/>
  <w15:chartTrackingRefBased/>
  <w15:docId w15:val="{5D524C4B-56D1-4313-9237-36365C7C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72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Humphries</dc:creator>
  <cp:keywords/>
  <dc:description/>
  <cp:lastModifiedBy>Kristen Humphries</cp:lastModifiedBy>
  <cp:revision>1</cp:revision>
  <dcterms:created xsi:type="dcterms:W3CDTF">2024-02-09T22:26:00Z</dcterms:created>
  <dcterms:modified xsi:type="dcterms:W3CDTF">2024-02-09T22:37:00Z</dcterms:modified>
</cp:coreProperties>
</file>